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A2" w:rsidRDefault="009D6A98" w:rsidP="00FB35A2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414755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CBC9F95" wp14:editId="6B4312AF">
            <wp:simplePos x="0" y="0"/>
            <wp:positionH relativeFrom="column">
              <wp:posOffset>-342900</wp:posOffset>
            </wp:positionH>
            <wp:positionV relativeFrom="paragraph">
              <wp:posOffset>-466090</wp:posOffset>
            </wp:positionV>
            <wp:extent cx="1704944" cy="5816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le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44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A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3EA6C1B" wp14:editId="13422566">
            <wp:simplePos x="0" y="0"/>
            <wp:positionH relativeFrom="column">
              <wp:posOffset>4848225</wp:posOffset>
            </wp:positionH>
            <wp:positionV relativeFrom="paragraph">
              <wp:posOffset>-530860</wp:posOffset>
            </wp:positionV>
            <wp:extent cx="788400" cy="770400"/>
            <wp:effectExtent l="0" t="0" r="0" b="0"/>
            <wp:wrapNone/>
            <wp:docPr id="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5A2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FB35A2" w:rsidRDefault="00FB35A2" w:rsidP="00FB35A2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vacciné ou ayant contracté la COVID-19 depuis moins de deux mois</w:t>
      </w:r>
    </w:p>
    <w:p w:rsidR="00FB35A2" w:rsidRDefault="00FB35A2" w:rsidP="00FB35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</w:p>
    <w:p w:rsidR="00FB35A2" w:rsidRDefault="00FB35A2" w:rsidP="00FB35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92163" w:rsidRDefault="00B9216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92163" w:rsidRDefault="00FB35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:rsidR="00B92163" w:rsidRDefault="00FB35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B92163" w:rsidRDefault="00B921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92163" w:rsidRDefault="00FB35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B92163" w:rsidRDefault="00FB35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B92163" w:rsidRDefault="00B92163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B92163" w:rsidRDefault="00B92163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B92163" w:rsidRDefault="00FB35A2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légal de :</w:t>
      </w:r>
    </w:p>
    <w:p w:rsidR="00B92163" w:rsidRDefault="00FB35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B92163" w:rsidRDefault="00B92163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B92163" w:rsidRDefault="00B92163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B92163" w:rsidRDefault="00B92163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B92163" w:rsidRDefault="00FB35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lesquelles le respect d’une quarantaine n’est pas requis à savoir :</w:t>
      </w:r>
    </w:p>
    <w:p w:rsidR="00B92163" w:rsidRDefault="00FB35A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présentait un schéma vaccinal complet</w:t>
      </w:r>
      <w:r>
        <w:rPr>
          <w:rStyle w:val="Ancredenotedebasdepage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(il est donc contact à risque modéré)</w:t>
      </w:r>
      <w:r>
        <w:rPr>
          <w:rStyle w:val="Ancredenotedebasdepage"/>
          <w:rFonts w:asciiTheme="minorHAnsi" w:hAnsiTheme="minorHAnsi" w:cstheme="minorHAnsi"/>
          <w:color w:val="414755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;</w:t>
      </w:r>
    </w:p>
    <w:p w:rsidR="00B92163" w:rsidRDefault="00FB35A2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OU</w:t>
      </w:r>
      <w:proofErr w:type="gramEnd"/>
    </w:p>
    <w:p w:rsidR="00B92163" w:rsidRDefault="00FB35A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avait un antécédent de Covid-19 de moins de deux mois à la date du dernier contact avec le cas confirmé (il est donc contact à risque négligeable).</w:t>
      </w:r>
    </w:p>
    <w:p w:rsidR="00B92163" w:rsidRDefault="00B9216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92163" w:rsidRDefault="00FB35A2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dépistage (RT-PCR, RT-LAMP ou un test antigénique nasopharyngé).</w:t>
      </w:r>
    </w:p>
    <w:p w:rsidR="00B92163" w:rsidRDefault="00B9216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92163" w:rsidRDefault="00FB35A2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:rsidR="00B92163" w:rsidRDefault="00B9216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92163" w:rsidRDefault="00B9216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92163" w:rsidRDefault="00FB35A2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 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B92163" w:rsidRDefault="00B9216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92163" w:rsidRDefault="00FB35A2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B92163" w:rsidRDefault="00B92163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B92163" w:rsidRDefault="00B92163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B92163" w:rsidRDefault="00FB35A2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B92163" w:rsidRDefault="00FB35A2">
      <w:pPr>
        <w:jc w:val="center"/>
      </w:pPr>
      <w:r>
        <w:rPr>
          <w:rFonts w:cstheme="minorHAnsi"/>
          <w:b/>
          <w:bCs/>
          <w:color w:val="44307B"/>
        </w:rPr>
        <w:t>[Prénom] [Nom]</w:t>
      </w:r>
    </w:p>
    <w:sectPr w:rsidR="00B92163">
      <w:pgSz w:w="11906" w:h="16838"/>
      <w:pgMar w:top="1417" w:right="1274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C2" w:rsidRDefault="00FB35A2">
      <w:pPr>
        <w:spacing w:after="0" w:line="240" w:lineRule="auto"/>
      </w:pPr>
      <w:r>
        <w:separator/>
      </w:r>
    </w:p>
  </w:endnote>
  <w:endnote w:type="continuationSeparator" w:id="0">
    <w:p w:rsidR="00182CC2" w:rsidRDefault="00FB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63" w:rsidRDefault="00FB35A2">
      <w:pPr>
        <w:rPr>
          <w:sz w:val="12"/>
        </w:rPr>
      </w:pPr>
      <w:r>
        <w:separator/>
      </w:r>
    </w:p>
  </w:footnote>
  <w:footnote w:type="continuationSeparator" w:id="0">
    <w:p w:rsidR="00B92163" w:rsidRDefault="00FB35A2">
      <w:pPr>
        <w:rPr>
          <w:sz w:val="12"/>
        </w:rPr>
      </w:pPr>
      <w:r>
        <w:continuationSeparator/>
      </w:r>
    </w:p>
  </w:footnote>
  <w:footnote w:id="1">
    <w:p w:rsidR="00B92163" w:rsidRDefault="00FB35A2">
      <w:pPr>
        <w:pStyle w:val="Notedebasdepage"/>
        <w:spacing w:after="0"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:rsidR="00B92163" w:rsidRDefault="00FB35A2">
      <w:pPr>
        <w:pStyle w:val="Notedebasdepage"/>
        <w:spacing w:after="0"/>
      </w:pPr>
      <w:r>
        <w:tab/>
        <w:t xml:space="preserve">  28 jours après l'injection pour les vaccins avec une seule injection (Johnson &amp; Johnson) ;</w:t>
      </w:r>
    </w:p>
    <w:p w:rsidR="00B92163" w:rsidRDefault="00FB35A2">
      <w:pPr>
        <w:pStyle w:val="Notedebasdepage"/>
        <w:spacing w:after="0"/>
      </w:pPr>
      <w:r>
        <w:tab/>
        <w:t xml:space="preserve">  7 jours après l'injection pour les vaccins chez les personnes ayant eu un antécédent de </w:t>
      </w:r>
      <w:proofErr w:type="spellStart"/>
      <w:r>
        <w:t>Covid</w:t>
      </w:r>
      <w:proofErr w:type="spellEnd"/>
      <w:r>
        <w:t xml:space="preserve"> (1 seule injection).</w:t>
      </w:r>
    </w:p>
  </w:footnote>
  <w:footnote w:id="2">
    <w:p w:rsidR="00B92163" w:rsidRDefault="00FB35A2">
      <w:pPr>
        <w:pStyle w:val="Notedebasdepage"/>
        <w:spacing w:after="0"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9D6"/>
    <w:multiLevelType w:val="multilevel"/>
    <w:tmpl w:val="E716FC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D403E9"/>
    <w:multiLevelType w:val="multilevel"/>
    <w:tmpl w:val="752ED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63"/>
    <w:rsid w:val="00182CC2"/>
    <w:rsid w:val="009D6A98"/>
    <w:rsid w:val="00B92163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E7489-CEEC-4F15-9218-8DC0F862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6593F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6593F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C6F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C6FB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C3EC1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6593F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C6FB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5C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1188-07BC-4314-815D-4ED8B21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986</Characters>
  <Application>Microsoft Office Word</Application>
  <DocSecurity>0</DocSecurity>
  <Lines>8</Lines>
  <Paragraphs>2</Paragraphs>
  <ScaleCrop>false</ScaleCrop>
  <Company>Ministere de l'Education Nationale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LAURE-AURELIA GUILLOU</dc:creator>
  <dc:description/>
  <cp:lastModifiedBy>princ</cp:lastModifiedBy>
  <cp:revision>9</cp:revision>
  <dcterms:created xsi:type="dcterms:W3CDTF">2021-09-03T08:56:00Z</dcterms:created>
  <dcterms:modified xsi:type="dcterms:W3CDTF">2021-09-09T15:38:00Z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